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30" w:rsidRPr="003231F1" w:rsidRDefault="003231F1" w:rsidP="00737230">
      <w:pPr>
        <w:spacing w:after="0"/>
        <w:jc w:val="center"/>
        <w:rPr>
          <w:rFonts w:ascii="SimSun" w:eastAsia="SimSun" w:hAnsi="SimSun"/>
          <w:b/>
          <w:sz w:val="32"/>
          <w:szCs w:val="32"/>
          <w:lang w:eastAsia="zh-CN"/>
        </w:rPr>
      </w:pPr>
      <w:r>
        <w:rPr>
          <w:rFonts w:ascii="SimSun" w:eastAsia="SimSun" w:hAnsi="SimSun"/>
          <w:b/>
          <w:sz w:val="32"/>
          <w:szCs w:val="32"/>
          <w:lang w:eastAsia="zh-CN"/>
        </w:rPr>
        <w:t>《运动营养学》课程教学大纲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300"/>
        <w:gridCol w:w="1302"/>
        <w:gridCol w:w="490"/>
        <w:gridCol w:w="1093"/>
      </w:tblGrid>
      <w:tr w:rsidR="00737230" w:rsidRPr="000F1FEB" w:rsidTr="006113F6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课程名称：</w:t>
            </w:r>
            <w:r w:rsidR="003231F1"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运动营养学</w:t>
            </w:r>
          </w:p>
        </w:tc>
        <w:tc>
          <w:tcPr>
            <w:tcW w:w="4852" w:type="dxa"/>
            <w:gridSpan w:val="5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课程类别（必修/选修）：必修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课程英文名称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  <w:t>：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Sports Nutrition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总学时/周学时/学分：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先修课程：运动生理学专业基础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授课时间：周二1-2节</w:t>
            </w:r>
          </w:p>
        </w:tc>
        <w:tc>
          <w:tcPr>
            <w:tcW w:w="4852" w:type="dxa"/>
            <w:gridSpan w:val="5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授课地点：松山湖校区6A教学楼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授课对象：</w:t>
            </w:r>
            <w:r w:rsidR="00552D8E"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>2016</w:t>
            </w:r>
            <w:r w:rsidR="00552D8E"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级社会体育指导与管理专业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7230" w:rsidRPr="007151C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宋体" w:hAnsi="SimSun" w:cstheme="minorHAnsi" w:hint="eastAsia"/>
                <w:b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开课院系：</w:t>
            </w:r>
            <w:r w:rsidR="003231F1"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教育学院　（师范学院）</w:t>
            </w:r>
            <w:r w:rsidR="007151CB">
              <w:rPr>
                <w:rFonts w:ascii="SimSun" w:eastAsia="宋体" w:hAnsi="SimSun" w:cstheme="minorHAnsi" w:hint="eastAsia"/>
                <w:b/>
                <w:sz w:val="21"/>
                <w:szCs w:val="21"/>
                <w:lang w:eastAsia="zh-CN"/>
              </w:rPr>
              <w:t>体育系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任课教师姓名/职称：</w:t>
            </w:r>
            <w:r w:rsidR="003231F1"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陈昀宗/讲师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联系电话：13809265757</w:t>
            </w:r>
          </w:p>
        </w:tc>
        <w:tc>
          <w:tcPr>
            <w:tcW w:w="4852" w:type="dxa"/>
            <w:gridSpan w:val="5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Email: cthero178@hotmail.com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答疑时间、地点与方式：周二  教学楼 现场及电话答疑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开卷（   ）     闭卷（V）   课程论文（  ）   其它（V,分组报告）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0C83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bCs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A1919" w:rsidRPr="000F1FEB">
              <w:rPr>
                <w:rFonts w:ascii="SimSun" w:eastAsia="SimSun" w:hAnsi="SimSun" w:cs="Helvetica Neue"/>
                <w:b/>
                <w:color w:val="000000"/>
                <w:sz w:val="21"/>
                <w:szCs w:val="21"/>
                <w:lang w:eastAsia="zh-TW"/>
              </w:rPr>
              <w:t>吴昊</w:t>
            </w:r>
            <w:r w:rsidR="00552D8E" w:rsidRPr="000F1FEB">
              <w:rPr>
                <w:rFonts w:ascii="SimSun" w:eastAsia="SimSun" w:hAnsi="SimSun" w:cstheme="minorHAnsi" w:hint="eastAsia"/>
                <w:b/>
                <w:bCs/>
                <w:sz w:val="21"/>
                <w:szCs w:val="21"/>
                <w:lang w:eastAsia="zh-CN"/>
              </w:rPr>
              <w:t>《运动营养》北京体育大学出版社</w:t>
            </w:r>
            <w:r w:rsidR="000A1919" w:rsidRPr="000F1FEB">
              <w:rPr>
                <w:rFonts w:ascii="SimSun" w:eastAsia="SimSun" w:hAnsi="SimSun" w:cstheme="minorHAnsi" w:hint="eastAsia"/>
                <w:b/>
                <w:bCs/>
                <w:sz w:val="21"/>
                <w:szCs w:val="21"/>
                <w:lang w:eastAsia="zh-CN"/>
              </w:rPr>
              <w:t>，</w:t>
            </w:r>
            <w:r w:rsidR="000A1919" w:rsidRPr="000F1FEB">
              <w:rPr>
                <w:rFonts w:ascii="SimSun" w:eastAsia="SimSun" w:hAnsi="SimSun" w:cstheme="minorHAnsi"/>
                <w:b/>
                <w:bCs/>
                <w:sz w:val="21"/>
                <w:szCs w:val="21"/>
                <w:lang w:eastAsia="zh-CN"/>
              </w:rPr>
              <w:t>2017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7230" w:rsidRPr="000F1FEB" w:rsidRDefault="00737230" w:rsidP="00811D6A">
            <w:pPr>
              <w:snapToGrid w:val="0"/>
              <w:spacing w:after="0"/>
              <w:jc w:val="left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课程简介</w:t>
            </w:r>
            <w:r w:rsidR="00BB73C2"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：</w:t>
            </w:r>
            <w:r w:rsidR="00552D8E"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《运动营养》是体育院系学生必修的一门重要基础课，在课程的安排方面，主要介绍运动中能量供应的来源与代谢途径，包括碳水化合物、脂肪与蛋白质的代谢途径。并且介绍基本营养素(碳水化合物、脂肪、蛋白质、维他命、矿物质)与较普及的运动增补剂，对能量的储存、运动中能量的代谢与运动表现之影响。</w:t>
            </w:r>
          </w:p>
        </w:tc>
      </w:tr>
      <w:tr w:rsidR="00737230" w:rsidRPr="000F1FEB" w:rsidTr="006113F6">
        <w:trPr>
          <w:trHeight w:val="2920"/>
          <w:jc w:val="center"/>
        </w:trPr>
        <w:tc>
          <w:tcPr>
            <w:tcW w:w="6216" w:type="dxa"/>
            <w:gridSpan w:val="6"/>
          </w:tcPr>
          <w:p w:rsidR="00737230" w:rsidRPr="000F1FEB" w:rsidRDefault="00552D8E" w:rsidP="00811D6A">
            <w:pPr>
              <w:tabs>
                <w:tab w:val="left" w:pos="1440"/>
              </w:tabs>
              <w:snapToGrid w:val="0"/>
              <w:spacing w:after="0"/>
              <w:ind w:leftChars="175" w:left="42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52D8E" w:rsidRPr="000F1FEB" w:rsidRDefault="00552D8E" w:rsidP="00811D6A">
            <w:pPr>
              <w:tabs>
                <w:tab w:val="left" w:pos="1440"/>
              </w:tabs>
              <w:snapToGrid w:val="0"/>
              <w:spacing w:after="0"/>
              <w:ind w:leftChars="175" w:left="42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 xml:space="preserve">1. 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知识与技能目标：通过课程学习，使学生了解掌握运动营养的基础理论知识，理解并掌握运动增补的方法、时机与技术。</w:t>
            </w:r>
          </w:p>
          <w:p w:rsidR="00552D8E" w:rsidRPr="000F1FEB" w:rsidRDefault="00552D8E" w:rsidP="00811D6A">
            <w:pPr>
              <w:tabs>
                <w:tab w:val="left" w:pos="1440"/>
              </w:tabs>
              <w:snapToGrid w:val="0"/>
              <w:spacing w:after="0"/>
              <w:ind w:leftChars="175" w:left="42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 xml:space="preserve">2. 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过程与方法目标：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>①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明确学习目的，调动、发挥学生学习的主动性和积极性，更好地完成本大纲所提出的任务，达到预期目的。②通过各种教学方法，使学生掌握运动营养的实务应用。</w:t>
            </w:r>
          </w:p>
          <w:p w:rsidR="00552D8E" w:rsidRPr="000F1FEB" w:rsidRDefault="00552D8E" w:rsidP="00811D6A">
            <w:pPr>
              <w:tabs>
                <w:tab w:val="left" w:pos="1440"/>
              </w:tabs>
              <w:snapToGrid w:val="0"/>
              <w:spacing w:after="0"/>
              <w:ind w:leftChars="175" w:left="42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 xml:space="preserve">3. 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情感、态度与价值观发展目标：通过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>36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学时的教学，贯彻素质教育思想，加强学生责任感及价值观的培养教育，培养学生的实践操作及组织能力。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ab/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>(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</w:tc>
        <w:tc>
          <w:tcPr>
            <w:tcW w:w="3185" w:type="dxa"/>
            <w:gridSpan w:val="4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本课程与学生核心能力培养之间的关联(授课对象为理工科专业学生的课程填写此栏）：</w:t>
            </w:r>
          </w:p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 xml:space="preserve">□核心能力1. </w:t>
            </w:r>
          </w:p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 xml:space="preserve">□核心能力2. </w:t>
            </w:r>
          </w:p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□核心能力3.</w:t>
            </w:r>
          </w:p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□核心能力4.</w:t>
            </w:r>
          </w:p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□核心能力5.</w:t>
            </w:r>
          </w:p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 xml:space="preserve">□核心能力6. </w:t>
            </w:r>
          </w:p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□核心能力7．</w:t>
            </w:r>
          </w:p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□核心能力8．</w:t>
            </w:r>
          </w:p>
        </w:tc>
      </w:tr>
      <w:tr w:rsidR="00737230" w:rsidRPr="000F1FEB" w:rsidTr="006113F6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7230" w:rsidRPr="000F1FEB" w:rsidRDefault="00737230" w:rsidP="00811D6A">
            <w:pPr>
              <w:tabs>
                <w:tab w:val="left" w:pos="1440"/>
              </w:tabs>
              <w:snapToGrid w:val="0"/>
              <w:spacing w:after="0"/>
              <w:jc w:val="center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7230" w:rsidRPr="000F1FEB" w:rsidTr="0015657E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7230" w:rsidRPr="000F1FEB" w:rsidRDefault="00737230" w:rsidP="00811D6A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7230" w:rsidRPr="000F1FEB" w:rsidRDefault="00737230" w:rsidP="00811D6A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7230" w:rsidRPr="000F1FEB" w:rsidRDefault="00737230" w:rsidP="00811D6A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教学时长</w:t>
            </w:r>
          </w:p>
        </w:tc>
        <w:tc>
          <w:tcPr>
            <w:tcW w:w="3516" w:type="dxa"/>
            <w:gridSpan w:val="3"/>
            <w:tcMar>
              <w:left w:w="28" w:type="dxa"/>
              <w:right w:w="28" w:type="dxa"/>
            </w:tcMar>
            <w:vAlign w:val="center"/>
          </w:tcPr>
          <w:p w:rsidR="00737230" w:rsidRPr="000F1FEB" w:rsidRDefault="00737230" w:rsidP="00811D6A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792" w:type="dxa"/>
            <w:gridSpan w:val="2"/>
            <w:tcMar>
              <w:left w:w="28" w:type="dxa"/>
              <w:right w:w="28" w:type="dxa"/>
            </w:tcMar>
            <w:vAlign w:val="center"/>
          </w:tcPr>
          <w:p w:rsidR="00737230" w:rsidRPr="000F1FEB" w:rsidRDefault="00737230" w:rsidP="00811D6A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7230" w:rsidRPr="000F1FEB" w:rsidRDefault="00737230" w:rsidP="00811D6A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作业安排</w:t>
            </w: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课程大纲介绍与</w:t>
            </w:r>
          </w:p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运动与能量需求</w:t>
            </w:r>
          </w:p>
        </w:tc>
        <w:tc>
          <w:tcPr>
            <w:tcW w:w="623" w:type="dxa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认识授课教师背景</w:t>
            </w:r>
          </w:p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并对运动营养有初步的认识</w:t>
            </w:r>
          </w:p>
        </w:tc>
        <w:tc>
          <w:tcPr>
            <w:tcW w:w="1792" w:type="dxa"/>
            <w:gridSpan w:val="2"/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运动中的供能</w:t>
            </w:r>
          </w:p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物质</w:t>
            </w:r>
          </w:p>
        </w:tc>
        <w:tc>
          <w:tcPr>
            <w:tcW w:w="623" w:type="dxa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醣和脂肪的供能</w:t>
            </w:r>
          </w:p>
        </w:tc>
        <w:tc>
          <w:tcPr>
            <w:tcW w:w="1792" w:type="dxa"/>
            <w:gridSpan w:val="2"/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运动员对蛋白质的需求</w:t>
            </w:r>
          </w:p>
        </w:tc>
        <w:tc>
          <w:tcPr>
            <w:tcW w:w="623" w:type="dxa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516" w:type="dxa"/>
            <w:gridSpan w:val="3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蛋白质的供能</w:t>
            </w:r>
          </w:p>
        </w:tc>
        <w:tc>
          <w:tcPr>
            <w:tcW w:w="1792" w:type="dxa"/>
            <w:gridSpan w:val="2"/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微量營養素</w:t>
            </w:r>
          </w:p>
        </w:tc>
        <w:tc>
          <w:tcPr>
            <w:tcW w:w="623" w:type="dxa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维生素与矿物的作用</w:t>
            </w:r>
          </w:p>
        </w:tc>
        <w:tc>
          <w:tcPr>
            <w:tcW w:w="1792" w:type="dxa"/>
            <w:gridSpan w:val="2"/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液体与电解质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516" w:type="dxa"/>
            <w:gridSpan w:val="3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ab/>
              <w:t>水分与电解质的作用</w:t>
            </w: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ab/>
            </w: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ab/>
            </w: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酒精与运动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516" w:type="dxa"/>
            <w:gridSpan w:val="3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酒精对人体的影响</w:t>
            </w: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lastRenderedPageBreak/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赛前营养的储存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运动前肌肉肝醣的增补法</w:t>
            </w: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运动中的饮食与水分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运动中血糖与水分的控制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运动后恢复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运动后的营养需求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评估营养需求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评估运动员的营养状态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体型与体成份的改变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评估运动员的体成份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1</w:t>
            </w: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膳食的补充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人体机能的促进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1</w:t>
            </w: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运动营养</w:t>
            </w:r>
          </w:p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的实施策略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评估运动员的营养需求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1</w:t>
            </w: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外出旅行</w:t>
            </w:r>
          </w:p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的饮食策略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评估外出旅行的营养需求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1</w:t>
            </w: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特殊人群</w:t>
            </w:r>
          </w:p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的营养措施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评估特殊人群的营养需求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</w:p>
        </w:tc>
        <w:bookmarkStart w:id="0" w:name="_GoBack"/>
        <w:bookmarkEnd w:id="0"/>
      </w:tr>
      <w:tr w:rsidR="0015657E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1</w:t>
            </w: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特殊环境</w:t>
            </w:r>
          </w:p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的营养措施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热环境的营养需求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7E" w:rsidRPr="00063FDA" w:rsidRDefault="00063FDA" w:rsidP="00063FDA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1</w:t>
            </w: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期末报告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分组分享不同类型运动员的增补策略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</w:p>
        </w:tc>
      </w:tr>
      <w:tr w:rsidR="00063FDA" w:rsidRPr="000F1FEB" w:rsidTr="00063FD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pStyle w:val="a3"/>
              <w:snapToGrid w:val="0"/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0F1FEB">
              <w:rPr>
                <w:rFonts w:ascii="SimSun" w:eastAsia="SimSun" w:hAnsi="SimSun"/>
                <w:sz w:val="21"/>
                <w:szCs w:val="21"/>
              </w:rPr>
              <w:t>重点回顾</w:t>
            </w:r>
          </w:p>
          <w:p w:rsidR="00063FDA" w:rsidRPr="000F1FEB" w:rsidRDefault="00063FDA" w:rsidP="00063FDA">
            <w:pPr>
              <w:pStyle w:val="a3"/>
              <w:snapToGrid w:val="0"/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0F1FEB">
              <w:rPr>
                <w:rFonts w:ascii="SimSun" w:eastAsia="SimSun" w:hAnsi="SimSun"/>
                <w:sz w:val="21"/>
                <w:szCs w:val="21"/>
              </w:rPr>
              <w:t>与师生交流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pStyle w:val="a3"/>
              <w:snapToGrid w:val="0"/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0F1FEB">
              <w:rPr>
                <w:rFonts w:ascii="SimSun" w:eastAsia="SimSun" w:hAnsi="SimSun" w:hint="eastAsia"/>
                <w:sz w:val="21"/>
                <w:szCs w:val="21"/>
              </w:rPr>
              <w:t>2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pStyle w:val="a3"/>
              <w:snapToGrid w:val="0"/>
              <w:jc w:val="center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对本学期所学内容进行梳理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63FDA" w:rsidRDefault="00063FDA" w:rsidP="00063FDA">
            <w:pPr>
              <w:jc w:val="center"/>
            </w:pPr>
            <w:r w:rsidRPr="00063FD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DA" w:rsidRPr="000F1FEB" w:rsidRDefault="00063FDA" w:rsidP="00063FDA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15657E" w:rsidRPr="000F1FEB" w:rsidTr="0015657E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spacing w:after="0"/>
              <w:jc w:val="right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36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15657E" w:rsidRPr="000F1FEB" w:rsidRDefault="0015657E" w:rsidP="0015657E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</w:rPr>
            </w:pPr>
          </w:p>
        </w:tc>
      </w:tr>
      <w:tr w:rsidR="0015657E" w:rsidRPr="000F1FEB" w:rsidTr="006113F6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5657E" w:rsidRPr="000F1FEB" w:rsidRDefault="0015657E" w:rsidP="0015657E">
            <w:pPr>
              <w:tabs>
                <w:tab w:val="left" w:pos="1440"/>
              </w:tabs>
              <w:snapToGrid w:val="0"/>
              <w:spacing w:after="0"/>
              <w:jc w:val="center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15657E" w:rsidRPr="000F1FEB" w:rsidTr="006113F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spacing w:after="0"/>
              <w:jc w:val="center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考核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15657E" w:rsidRPr="000F1FEB" w:rsidRDefault="0015657E" w:rsidP="0015657E">
            <w:pPr>
              <w:snapToGrid w:val="0"/>
              <w:spacing w:after="0"/>
              <w:ind w:left="180"/>
              <w:jc w:val="center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spacing w:after="0"/>
              <w:ind w:left="180"/>
              <w:jc w:val="center"/>
              <w:rPr>
                <w:rFonts w:ascii="SimSun" w:eastAsia="SimSun" w:hAnsi="SimSun" w:cstheme="minorHAnsi"/>
                <w:b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权重</w:t>
            </w:r>
          </w:p>
        </w:tc>
      </w:tr>
      <w:tr w:rsidR="0015657E" w:rsidRPr="000F1FEB" w:rsidTr="006113F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 w:rsidR="0015657E" w:rsidRPr="000F1FEB" w:rsidRDefault="0015657E" w:rsidP="0015657E">
            <w:pPr>
              <w:snapToGrid w:val="0"/>
              <w:ind w:left="18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考勤</w:t>
            </w:r>
          </w:p>
        </w:tc>
        <w:tc>
          <w:tcPr>
            <w:tcW w:w="1583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ind w:left="18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20%</w:t>
            </w:r>
          </w:p>
        </w:tc>
      </w:tr>
      <w:tr w:rsidR="0015657E" w:rsidRPr="000F1FEB" w:rsidTr="006113F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课堂表现</w:t>
            </w:r>
          </w:p>
        </w:tc>
        <w:tc>
          <w:tcPr>
            <w:tcW w:w="5810" w:type="dxa"/>
            <w:gridSpan w:val="6"/>
            <w:vAlign w:val="center"/>
          </w:tcPr>
          <w:p w:rsidR="0015657E" w:rsidRPr="000F1FEB" w:rsidRDefault="0015657E" w:rsidP="0015657E">
            <w:pPr>
              <w:snapToGrid w:val="0"/>
              <w:ind w:left="18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随堂问答</w:t>
            </w:r>
          </w:p>
        </w:tc>
        <w:tc>
          <w:tcPr>
            <w:tcW w:w="1583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ind w:left="18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10%</w:t>
            </w:r>
          </w:p>
        </w:tc>
      </w:tr>
      <w:tr w:rsidR="0015657E" w:rsidRPr="000F1FEB" w:rsidTr="000903E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期末报告</w:t>
            </w:r>
          </w:p>
        </w:tc>
        <w:tc>
          <w:tcPr>
            <w:tcW w:w="5810" w:type="dxa"/>
            <w:gridSpan w:val="6"/>
          </w:tcPr>
          <w:p w:rsidR="0015657E" w:rsidRPr="000F1FEB" w:rsidRDefault="0015657E" w:rsidP="0015657E">
            <w:pPr>
              <w:snapToGrid w:val="0"/>
              <w:ind w:leftChars="85" w:left="204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1.评价标准：分组报告的完整性</w:t>
            </w:r>
          </w:p>
          <w:p w:rsidR="0015657E" w:rsidRPr="000F1FEB" w:rsidRDefault="0015657E" w:rsidP="0015657E">
            <w:pPr>
              <w:snapToGrid w:val="0"/>
              <w:ind w:leftChars="85" w:left="204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2.要求：能完善的说出运动增补的内容、方法及策略，并完成PPT简报。</w:t>
            </w:r>
          </w:p>
        </w:tc>
        <w:tc>
          <w:tcPr>
            <w:tcW w:w="1583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ind w:left="180"/>
              <w:jc w:val="center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 w:hint="eastAsia"/>
                <w:sz w:val="21"/>
                <w:szCs w:val="21"/>
                <w:lang w:eastAsia="zh-TW"/>
              </w:rPr>
              <w:t>30</w:t>
            </w: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%</w:t>
            </w:r>
          </w:p>
        </w:tc>
      </w:tr>
      <w:tr w:rsidR="0015657E" w:rsidRPr="000F1FEB" w:rsidTr="006113F6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期末考核</w:t>
            </w:r>
          </w:p>
        </w:tc>
        <w:tc>
          <w:tcPr>
            <w:tcW w:w="5810" w:type="dxa"/>
            <w:gridSpan w:val="6"/>
          </w:tcPr>
          <w:p w:rsidR="0015657E" w:rsidRPr="000F1FEB" w:rsidRDefault="0015657E" w:rsidP="0015657E">
            <w:pPr>
              <w:snapToGrid w:val="0"/>
              <w:ind w:left="180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  <w:t>统一时间集中进行理论知识总复习指导</w:t>
            </w:r>
          </w:p>
          <w:p w:rsidR="0015657E" w:rsidRPr="000F1FEB" w:rsidRDefault="0015657E" w:rsidP="0015657E">
            <w:pPr>
              <w:snapToGrid w:val="0"/>
              <w:ind w:left="180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  <w:t>1.评价标准：试卷按知识点解答。</w:t>
            </w:r>
          </w:p>
          <w:p w:rsidR="0015657E" w:rsidRPr="000F1FEB" w:rsidRDefault="0015657E" w:rsidP="0015657E">
            <w:pPr>
              <w:snapToGrid w:val="0"/>
              <w:ind w:leftChars="84" w:left="202"/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TW"/>
              </w:rPr>
              <w:t>2.要求：掌握运动营养的基本理论知识及方法，按时完成考试。</w:t>
            </w:r>
          </w:p>
        </w:tc>
        <w:tc>
          <w:tcPr>
            <w:tcW w:w="1583" w:type="dxa"/>
            <w:gridSpan w:val="2"/>
            <w:vAlign w:val="center"/>
          </w:tcPr>
          <w:p w:rsidR="0015657E" w:rsidRPr="000F1FEB" w:rsidRDefault="0015657E" w:rsidP="0015657E">
            <w:pPr>
              <w:snapToGrid w:val="0"/>
              <w:ind w:left="180"/>
              <w:jc w:val="center"/>
              <w:rPr>
                <w:rFonts w:ascii="SimSun" w:eastAsia="SimSun" w:hAnsi="SimSun" w:cstheme="minorHAnsi"/>
                <w:sz w:val="21"/>
                <w:szCs w:val="21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</w:rPr>
              <w:t>40%</w:t>
            </w:r>
          </w:p>
        </w:tc>
      </w:tr>
      <w:tr w:rsidR="0015657E" w:rsidRPr="000F1FEB" w:rsidTr="006113F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5657E" w:rsidRPr="000F1FEB" w:rsidRDefault="0015657E" w:rsidP="0015657E">
            <w:pPr>
              <w:snapToGrid w:val="0"/>
              <w:spacing w:after="0"/>
              <w:ind w:left="180"/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大纲编写时间：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201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8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</w:rPr>
              <w:t>/0</w:t>
            </w: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t>9</w:t>
            </w:r>
            <w:r w:rsidRPr="000F1FEB">
              <w:rPr>
                <w:rFonts w:ascii="SimSun" w:eastAsia="SimSun" w:hAnsi="SimSun" w:cstheme="minorHAnsi" w:hint="eastAsia"/>
                <w:b/>
                <w:sz w:val="21"/>
                <w:szCs w:val="21"/>
                <w:lang w:eastAsia="zh-TW"/>
              </w:rPr>
              <w:t>/</w:t>
            </w:r>
            <w:r w:rsidR="00230D8A">
              <w:rPr>
                <w:rFonts w:ascii="SimSun" w:eastAsia="SimSun" w:hAnsi="SimSun" w:cstheme="minorHAnsi"/>
                <w:b/>
                <w:sz w:val="21"/>
                <w:szCs w:val="21"/>
                <w:lang w:eastAsia="zh-TW"/>
              </w:rPr>
              <w:t>20</w:t>
            </w:r>
          </w:p>
        </w:tc>
      </w:tr>
      <w:tr w:rsidR="0015657E" w:rsidRPr="000F1FEB" w:rsidTr="006113F6">
        <w:trPr>
          <w:trHeight w:val="2351"/>
          <w:jc w:val="center"/>
        </w:trPr>
        <w:tc>
          <w:tcPr>
            <w:tcW w:w="9401" w:type="dxa"/>
            <w:gridSpan w:val="10"/>
          </w:tcPr>
          <w:p w:rsidR="0015657E" w:rsidRPr="000F1FEB" w:rsidRDefault="0015657E" w:rsidP="0015657E">
            <w:pPr>
              <w:tabs>
                <w:tab w:val="left" w:pos="1440"/>
              </w:tabs>
              <w:snapToGrid w:val="0"/>
              <w:spacing w:after="0"/>
              <w:jc w:val="left"/>
              <w:outlineLvl w:val="0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  <w:lastRenderedPageBreak/>
              <w:t>系（部）审查意见：</w:t>
            </w:r>
          </w:p>
          <w:p w:rsidR="0015657E" w:rsidRPr="000F1FEB" w:rsidRDefault="0015657E" w:rsidP="0015657E">
            <w:pPr>
              <w:snapToGrid w:val="0"/>
              <w:spacing w:after="0"/>
              <w:jc w:val="left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</w:p>
          <w:p w:rsidR="0015657E" w:rsidRPr="000F1FEB" w:rsidRDefault="0015657E" w:rsidP="0015657E">
            <w:pPr>
              <w:snapToGrid w:val="0"/>
              <w:spacing w:after="0"/>
              <w:jc w:val="left"/>
              <w:rPr>
                <w:rFonts w:ascii="SimSun" w:eastAsia="SimSun" w:hAnsi="SimSun" w:cstheme="minorHAnsi"/>
                <w:b/>
                <w:sz w:val="21"/>
                <w:szCs w:val="21"/>
                <w:lang w:eastAsia="zh-CN"/>
              </w:rPr>
            </w:pPr>
          </w:p>
          <w:p w:rsidR="0015657E" w:rsidRPr="000F1FEB" w:rsidRDefault="0015657E" w:rsidP="0015657E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  <w:t>。</w:t>
            </w:r>
          </w:p>
          <w:p w:rsidR="0015657E" w:rsidRPr="000F1FEB" w:rsidRDefault="0015657E" w:rsidP="0015657E">
            <w:pPr>
              <w:snapToGrid w:val="0"/>
              <w:spacing w:after="0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</w:p>
          <w:p w:rsidR="0015657E" w:rsidRPr="000F1FEB" w:rsidRDefault="0015657E" w:rsidP="0015657E">
            <w:pPr>
              <w:snapToGrid w:val="0"/>
              <w:spacing w:after="0"/>
              <w:ind w:right="420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</w:p>
          <w:p w:rsidR="0015657E" w:rsidRPr="000F1FEB" w:rsidRDefault="0015657E" w:rsidP="0015657E">
            <w:pPr>
              <w:snapToGrid w:val="0"/>
              <w:spacing w:after="0"/>
              <w:ind w:right="420"/>
              <w:jc w:val="right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  <w:r w:rsidRPr="000F1FEB"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15657E" w:rsidRPr="000F1FEB" w:rsidRDefault="0015657E" w:rsidP="0015657E">
            <w:pPr>
              <w:snapToGrid w:val="0"/>
              <w:spacing w:after="0"/>
              <w:ind w:left="180"/>
              <w:rPr>
                <w:rFonts w:ascii="SimSun" w:eastAsia="SimSun" w:hAnsi="SimSun" w:cstheme="minorHAnsi"/>
                <w:sz w:val="21"/>
                <w:szCs w:val="21"/>
                <w:lang w:eastAsia="zh-CN"/>
              </w:rPr>
            </w:pPr>
          </w:p>
        </w:tc>
      </w:tr>
    </w:tbl>
    <w:p w:rsidR="00737230" w:rsidRDefault="00737230" w:rsidP="00737230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 w:rsidRPr="00D36D06">
        <w:rPr>
          <w:rFonts w:ascii="SimSun" w:eastAsia="SimSun" w:hAnsi="SimSun"/>
          <w:b/>
          <w:bCs/>
          <w:sz w:val="21"/>
          <w:szCs w:val="21"/>
          <w:lang w:eastAsia="zh-CN"/>
        </w:rPr>
        <w:t>注：</w:t>
      </w:r>
      <w:r w:rsidRPr="00D36D06">
        <w:rPr>
          <w:rFonts w:ascii="SimSun" w:eastAsia="SimSun" w:hAnsi="SimSun" w:hint="eastAsia"/>
          <w:b/>
          <w:bCs/>
          <w:sz w:val="21"/>
          <w:szCs w:val="21"/>
          <w:lang w:eastAsia="zh-CN"/>
        </w:rPr>
        <w:t>1、课程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Pr="00E53E23">
        <w:rPr>
          <w:rFonts w:ascii="SimSun" w:eastAsia="SimSun" w:hAnsi="SimSun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737230" w:rsidRDefault="00737230" w:rsidP="00737230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737230" w:rsidRDefault="00737230" w:rsidP="00737230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737230" w:rsidRPr="00785779" w:rsidRDefault="00737230" w:rsidP="00737230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:rsidR="00BB45BB" w:rsidRDefault="00BB45BB">
      <w:pPr>
        <w:rPr>
          <w:lang w:eastAsia="zh-CN"/>
        </w:rPr>
      </w:pPr>
    </w:p>
    <w:sectPr w:rsidR="00BB45BB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347" w:rsidRDefault="007B7347" w:rsidP="007151CB">
      <w:pPr>
        <w:spacing w:after="0"/>
      </w:pPr>
      <w:r>
        <w:separator/>
      </w:r>
    </w:p>
  </w:endnote>
  <w:endnote w:type="continuationSeparator" w:id="0">
    <w:p w:rsidR="007B7347" w:rsidRDefault="007B7347" w:rsidP="007151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347" w:rsidRDefault="007B7347" w:rsidP="007151CB">
      <w:pPr>
        <w:spacing w:after="0"/>
      </w:pPr>
      <w:r>
        <w:separator/>
      </w:r>
    </w:p>
  </w:footnote>
  <w:footnote w:type="continuationSeparator" w:id="0">
    <w:p w:rsidR="007B7347" w:rsidRDefault="007B7347" w:rsidP="007151C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7230"/>
    <w:rsid w:val="00015447"/>
    <w:rsid w:val="00046C5D"/>
    <w:rsid w:val="00063FDA"/>
    <w:rsid w:val="000A1919"/>
    <w:rsid w:val="000C2504"/>
    <w:rsid w:val="000C4044"/>
    <w:rsid w:val="000C4EBF"/>
    <w:rsid w:val="000F1FEB"/>
    <w:rsid w:val="0015657E"/>
    <w:rsid w:val="002270CE"/>
    <w:rsid w:val="00230D8A"/>
    <w:rsid w:val="00286818"/>
    <w:rsid w:val="002A57E5"/>
    <w:rsid w:val="002D27AD"/>
    <w:rsid w:val="003231F1"/>
    <w:rsid w:val="00323FC3"/>
    <w:rsid w:val="0035582E"/>
    <w:rsid w:val="00365508"/>
    <w:rsid w:val="003F24BA"/>
    <w:rsid w:val="004003BF"/>
    <w:rsid w:val="0050088E"/>
    <w:rsid w:val="00506569"/>
    <w:rsid w:val="00552D8E"/>
    <w:rsid w:val="00561D73"/>
    <w:rsid w:val="005C3D4A"/>
    <w:rsid w:val="00687302"/>
    <w:rsid w:val="006F09AF"/>
    <w:rsid w:val="00700652"/>
    <w:rsid w:val="007151CB"/>
    <w:rsid w:val="00737230"/>
    <w:rsid w:val="007A127B"/>
    <w:rsid w:val="007B7347"/>
    <w:rsid w:val="00810807"/>
    <w:rsid w:val="00811D6A"/>
    <w:rsid w:val="00863FD1"/>
    <w:rsid w:val="0088311B"/>
    <w:rsid w:val="008B4237"/>
    <w:rsid w:val="008B5BA3"/>
    <w:rsid w:val="008D75FD"/>
    <w:rsid w:val="00966B6D"/>
    <w:rsid w:val="009C10ED"/>
    <w:rsid w:val="009E5729"/>
    <w:rsid w:val="00A42FA2"/>
    <w:rsid w:val="00A62EE6"/>
    <w:rsid w:val="00A76C09"/>
    <w:rsid w:val="00A83AE4"/>
    <w:rsid w:val="00AB3B9A"/>
    <w:rsid w:val="00AD2623"/>
    <w:rsid w:val="00B93312"/>
    <w:rsid w:val="00BB45BB"/>
    <w:rsid w:val="00BB73C2"/>
    <w:rsid w:val="00BF167E"/>
    <w:rsid w:val="00CD5D94"/>
    <w:rsid w:val="00D64F34"/>
    <w:rsid w:val="00D70C83"/>
    <w:rsid w:val="00E60FC7"/>
    <w:rsid w:val="00F22D8C"/>
    <w:rsid w:val="00FB6304"/>
    <w:rsid w:val="00FE1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30"/>
    <w:pPr>
      <w:spacing w:after="120"/>
      <w:jc w:val="both"/>
    </w:pPr>
    <w:rPr>
      <w:rFonts w:ascii="Times New Roman" w:eastAsia="PMingLiU" w:hAnsi="Times New Roman" w:cs="Times New Roman"/>
      <w:kern w:val="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5508"/>
    <w:pPr>
      <w:jc w:val="both"/>
    </w:pPr>
    <w:rPr>
      <w:rFonts w:ascii="Times New Roman" w:eastAsia="PMingLiU" w:hAnsi="Times New Roman" w:cs="Times New Roman"/>
      <w:kern w:val="0"/>
      <w:szCs w:val="22"/>
      <w:lang w:eastAsia="en-US"/>
    </w:rPr>
  </w:style>
  <w:style w:type="paragraph" w:styleId="a4">
    <w:name w:val="Revision"/>
    <w:hidden/>
    <w:uiPriority w:val="99"/>
    <w:semiHidden/>
    <w:rsid w:val="00E60FC7"/>
    <w:rPr>
      <w:rFonts w:ascii="Times New Roman" w:eastAsia="PMingLiU" w:hAnsi="Times New Roman" w:cs="Times New Roman"/>
      <w:kern w:val="0"/>
      <w:szCs w:val="22"/>
      <w:lang w:eastAsia="en-US"/>
    </w:rPr>
  </w:style>
  <w:style w:type="character" w:styleId="a5">
    <w:name w:val="Hyperlink"/>
    <w:basedOn w:val="a0"/>
    <w:uiPriority w:val="99"/>
    <w:unhideWhenUsed/>
    <w:rsid w:val="00E60FC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60FC7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E60FC7"/>
    <w:pPr>
      <w:ind w:leftChars="200" w:left="480"/>
    </w:pPr>
  </w:style>
  <w:style w:type="paragraph" w:styleId="a7">
    <w:name w:val="header"/>
    <w:basedOn w:val="a"/>
    <w:link w:val="Char"/>
    <w:uiPriority w:val="99"/>
    <w:semiHidden/>
    <w:unhideWhenUsed/>
    <w:rsid w:val="00715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7151CB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8">
    <w:name w:val="footer"/>
    <w:basedOn w:val="a"/>
    <w:link w:val="Char0"/>
    <w:uiPriority w:val="99"/>
    <w:semiHidden/>
    <w:unhideWhenUsed/>
    <w:rsid w:val="00715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7151CB"/>
    <w:rPr>
      <w:rFonts w:ascii="Times New Roman" w:eastAsia="PMingLiU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1CC4421-35A1-4C08-B234-186F2A8D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administrator-pc</cp:lastModifiedBy>
  <cp:revision>16</cp:revision>
  <dcterms:created xsi:type="dcterms:W3CDTF">2018-09-05T05:19:00Z</dcterms:created>
  <dcterms:modified xsi:type="dcterms:W3CDTF">2018-09-27T02:24:00Z</dcterms:modified>
</cp:coreProperties>
</file>